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3.png" ContentType="image/png"/>
  <Override PartName="/word/media/rId2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a4"/>
      </w:pPr>
      <w:r>
        <w:t xml:space="preserve">Статистические</w:t>
      </w:r>
      <w:r>
        <w:t xml:space="preserve"> </w:t>
      </w:r>
      <w:r>
        <w:t xml:space="preserve">данные</w:t>
      </w:r>
      <w:r>
        <w:t xml:space="preserve"> </w:t>
      </w:r>
      <w:r>
        <w:t xml:space="preserve">за</w:t>
      </w:r>
      <w:r>
        <w:t xml:space="preserve"> </w:t>
      </w:r>
      <w:r>
        <w:t xml:space="preserve">период</w:t>
      </w:r>
      <w:r>
        <w:t xml:space="preserve"> </w:t>
      </w:r>
      <w:r>
        <w:t xml:space="preserve">с</w:t>
      </w:r>
      <w:r>
        <w:t xml:space="preserve"> </w:t>
      </w:r>
      <w:r>
        <w:t xml:space="preserve">2010</w:t>
      </w:r>
      <w:r>
        <w:t xml:space="preserve"> </w:t>
      </w:r>
      <w:r>
        <w:t xml:space="preserve">по</w:t>
      </w:r>
      <w:r>
        <w:t xml:space="preserve"> </w:t>
      </w:r>
      <w:r>
        <w:t xml:space="preserve">2020</w:t>
      </w:r>
      <w:r>
        <w:t xml:space="preserve"> </w:t>
      </w:r>
      <w:r>
        <w:t xml:space="preserve">год</w:t>
      </w:r>
    </w:p>
    <w:p>
      <w:pPr>
        <w:pStyle w:val="Author"/>
      </w:pPr>
      <w:r>
        <w:t xml:space="preserve">Автор</w:t>
      </w:r>
      <w:r>
        <w:t xml:space="preserve"> </w:t>
      </w:r>
      <w:r>
        <w:t xml:space="preserve">Фамилия</w:t>
      </w:r>
    </w:p>
    <w:p>
      <w:pPr>
        <w:pStyle w:val="a6"/>
      </w:pPr>
      <w:r>
        <w:t xml:space="preserve">04.03.2023</w:t>
      </w:r>
    </w:p>
    <w:p>
      <w:pPr>
        <w:pStyle w:val="Abstract"/>
      </w:pPr>
      <w:r>
        <w:t xml:space="preserve">Мини-исследование</w:t>
      </w:r>
      <w:r>
        <w:t xml:space="preserve"> </w:t>
      </w:r>
      <w:r>
        <w:t xml:space="preserve">по</w:t>
      </w:r>
      <w:r>
        <w:t xml:space="preserve"> </w:t>
      </w:r>
      <w:r>
        <w:t xml:space="preserve">основным</w:t>
      </w:r>
      <w:r>
        <w:t xml:space="preserve"> </w:t>
      </w:r>
      <w:r>
        <w:t xml:space="preserve">характеристикам</w:t>
      </w:r>
      <w:r>
        <w:t xml:space="preserve"> </w:t>
      </w:r>
      <w:r>
        <w:t xml:space="preserve">объекта.</w:t>
      </w:r>
    </w:p>
    <w:bookmarkStart w:id="20" w:name="аннотация"/>
    <w:p>
      <w:pPr>
        <w:pStyle w:val="1"/>
      </w:pPr>
      <w:r>
        <w:t xml:space="preserve">Аннотация</w:t>
      </w:r>
    </w:p>
    <w:p>
      <w:pPr>
        <w:pStyle w:val="FirstParagraph"/>
      </w:pPr>
      <w:r>
        <w:t xml:space="preserve">Мы исследуем в статье средние показатели за 10 лет: с 2010 по 2020 год. В работе дана общая краткая характеристика величин, рассмотрено распределение … с учетом региональных особенностей и более подробно сделано исследование … с учетом географического положения. В конце работы приведен пример построения простейшей модели машинного обучения для возможного прогнозирования.</w:t>
      </w:r>
    </w:p>
    <w:bookmarkEnd w:id="20"/>
    <w:bookmarkStart w:id="21" w:name="введение"/>
    <w:p>
      <w:pPr>
        <w:pStyle w:val="1"/>
      </w:pPr>
      <w:r>
        <w:t xml:space="preserve">Введение</w:t>
      </w:r>
    </w:p>
    <w:p>
      <w:pPr>
        <w:pStyle w:val="FirstParagraph"/>
      </w:pPr>
      <w:r>
        <w:t xml:space="preserve">В настоящее время большое внимание уделяется повышению эффективности деятельности … на основе современных алгоритмов науки о данных, новых научно-методических подходах, использования геоинформационных систем для решения сложных задач</w:t>
      </w:r>
      <w:r>
        <w:t xml:space="preserve"> </w:t>
      </w:r>
      <w:r>
        <w:t xml:space="preserve">[1, с. 560–570]</w:t>
      </w:r>
      <w:r>
        <w:t xml:space="preserve">. Одной из задач такого рода является расчет …, исходя из требований статьи 11 123-ФЗ</w:t>
      </w:r>
      <w:r>
        <w:t xml:space="preserve"> </w:t>
      </w:r>
      <w:r>
        <w:t xml:space="preserve">[2]</w:t>
      </w:r>
      <w:r>
        <w:t xml:space="preserve"> </w:t>
      </w:r>
      <w:r>
        <w:t xml:space="preserve">на основе современных технологий. Напомним, что …</w:t>
      </w:r>
    </w:p>
    <w:p>
      <w:pPr>
        <w:pStyle w:val="a0"/>
      </w:pPr>
      <w:r>
        <w:t xml:space="preserve">Теоретическая основа и практические подходы для решения задачи размещения решались в НИР «…», выполнявшейся в 2022 году</w:t>
      </w:r>
      <w:r>
        <w:t xml:space="preserve"> </w:t>
      </w:r>
      <w:r>
        <w:t xml:space="preserve">[3]</w:t>
      </w:r>
      <w:r>
        <w:t xml:space="preserve">. Ключевым подходом являлась реализация алгоритмов оптимизации на основе теории … на языке программирования Python с последующей визуализацией результата в QGIS – свободной кроссплатформенной геоинформационной системе.</w:t>
      </w:r>
    </w:p>
    <w:p>
      <w:pPr>
        <w:pStyle w:val="a0"/>
      </w:pPr>
      <w:r>
        <w:t xml:space="preserve">В качестве исходных данных указанной выше НИР для реализации алгоритмов выступают средние показателей на основе практических наблюдений, как, например, в</w:t>
      </w:r>
      <w:r>
        <w:t xml:space="preserve"> </w:t>
      </w:r>
      <w:r>
        <w:t xml:space="preserve">[4]</w:t>
      </w:r>
      <w:r>
        <w:t xml:space="preserve"> </w:t>
      </w:r>
      <w:r>
        <w:t xml:space="preserve">и статистических данных.</w:t>
      </w:r>
    </w:p>
    <w:bookmarkEnd w:id="21"/>
    <w:bookmarkStart w:id="24" w:name="методология-исследования"/>
    <w:p>
      <w:pPr>
        <w:pStyle w:val="1"/>
      </w:pPr>
      <w:r>
        <w:t xml:space="preserve">1. Методология исследования</w:t>
      </w:r>
    </w:p>
    <w:bookmarkStart w:id="22" w:name="исходные-данные"/>
    <w:p>
      <w:pPr>
        <w:pStyle w:val="2"/>
      </w:pPr>
      <w:r>
        <w:t xml:space="preserve">1.1 Исходные данные</w:t>
      </w:r>
    </w:p>
    <w:p>
      <w:pPr>
        <w:pStyle w:val="FirstParagraph"/>
      </w:pPr>
      <w:r>
        <w:t xml:space="preserve">Данная статья посвящена обобщению информации по … на основе почти 10-летней статистики. В настоящее время …, однако настоящее исследование не потеряло актуальности.</w:t>
      </w:r>
    </w:p>
    <w:bookmarkEnd w:id="22"/>
    <w:bookmarkStart w:id="23" w:name="методы-анализа"/>
    <w:p>
      <w:pPr>
        <w:pStyle w:val="2"/>
      </w:pPr>
      <w:r>
        <w:t xml:space="preserve">1.2 Методы анализа</w:t>
      </w:r>
    </w:p>
    <w:p>
      <w:pPr>
        <w:pStyle w:val="FirstParagraph"/>
      </w:pPr>
      <w:r>
        <w:t xml:space="preserve">Анализ исходных данных проводился с использованием с помощью языка программирования R</w:t>
      </w:r>
      <w:r>
        <w:t xml:space="preserve"> </w:t>
      </w:r>
      <w:r>
        <w:t xml:space="preserve">[5–8]</w:t>
      </w:r>
      <w:r>
        <w:t xml:space="preserve">. Основным инструментом для работы в R в данной работе является набор библиотек, основанный на</w:t>
      </w:r>
      <w:r>
        <w:t xml:space="preserve"> </w:t>
      </w:r>
      <w:r>
        <w:rPr>
          <w:rStyle w:val="VerbatimChar"/>
        </w:rPr>
        <w:t xml:space="preserve">tidyverse</w:t>
      </w:r>
      <w:r>
        <w:t xml:space="preserve"> </w:t>
      </w:r>
      <w:r>
        <w:t xml:space="preserve">– коллекции пакетов, объединенных общей базовой философией проектирования, грамматикой и структурой данных. В первую очередь мы используем библиотеку</w:t>
      </w:r>
      <w:r>
        <w:t xml:space="preserve"> </w:t>
      </w:r>
      <w:r>
        <w:rPr>
          <w:rStyle w:val="VerbatimChar"/>
        </w:rPr>
        <w:t xml:space="preserve">dplyr</w:t>
      </w:r>
      <w:r>
        <w:t xml:space="preserve"> </w:t>
      </w:r>
      <w:r>
        <w:t xml:space="preserve">для работы с табличными данными,</w:t>
      </w:r>
      <w:r>
        <w:t xml:space="preserve"> </w:t>
      </w:r>
      <w:r>
        <w:rPr>
          <w:rStyle w:val="VerbatimChar"/>
        </w:rPr>
        <w:t xml:space="preserve">ggplot2</w:t>
      </w:r>
      <w:r>
        <w:t xml:space="preserve"> </w:t>
      </w:r>
      <w:r>
        <w:t xml:space="preserve">для визуализации данных путем добавления новых слоев. Для диагностики данных на основе основных статистических тестов применялась библиотека</w:t>
      </w:r>
      <w:r>
        <w:t xml:space="preserve"> </w:t>
      </w:r>
      <w:r>
        <w:rPr>
          <w:rStyle w:val="VerbatimChar"/>
        </w:rPr>
        <w:t xml:space="preserve">ggstatsplot</w:t>
      </w:r>
      <w:r>
        <w:t xml:space="preserve">. Кроме того, работа с географическими данными с учетом CRS-проекций осуществлялась в библиотеке</w:t>
      </w:r>
      <w:r>
        <w:t xml:space="preserve"> </w:t>
      </w:r>
      <w:r>
        <w:rPr>
          <w:rStyle w:val="VerbatimChar"/>
        </w:rPr>
        <w:t xml:space="preserve">sf</w:t>
      </w:r>
      <w:r>
        <w:t xml:space="preserve">, а картографическая подложка дорожной сети была сделана на основе</w:t>
      </w:r>
      <w:r>
        <w:t xml:space="preserve"> </w:t>
      </w:r>
      <w:r>
        <w:rPr>
          <w:iCs/>
          <w:i/>
        </w:rPr>
        <w:t xml:space="preserve">OpenStreetMap</w:t>
      </w:r>
      <w:r>
        <w:t xml:space="preserve">-данных. Моделирование осуществлялось в современной библиотеке</w:t>
      </w:r>
      <w:r>
        <w:t xml:space="preserve"> </w:t>
      </w:r>
      <w:r>
        <w:rPr>
          <w:rStyle w:val="VerbatimChar"/>
        </w:rPr>
        <w:t xml:space="preserve">tidymodels</w:t>
      </w:r>
      <w:r>
        <w:t xml:space="preserve">, учет географических особенностей данных для кросс-валидации основан на работе в библиотеке</w:t>
      </w:r>
      <w:r>
        <w:t xml:space="preserve"> </w:t>
      </w:r>
      <w:r>
        <w:rPr>
          <w:rStyle w:val="VerbatimChar"/>
        </w:rPr>
        <w:t xml:space="preserve">spatialsample</w:t>
      </w:r>
      <w:r>
        <w:t xml:space="preserve">.</w:t>
      </w:r>
    </w:p>
    <w:bookmarkEnd w:id="23"/>
    <w:bookmarkEnd w:id="24"/>
    <w:bookmarkStart w:id="31" w:name="результаты"/>
    <w:p>
      <w:pPr>
        <w:pStyle w:val="1"/>
      </w:pPr>
      <w:r>
        <w:t xml:space="preserve">2. Результаты</w:t>
      </w:r>
    </w:p>
    <w:bookmarkStart w:id="30" w:name="средние-показатели"/>
    <w:p>
      <w:pPr>
        <w:pStyle w:val="2"/>
      </w:pPr>
      <w:r>
        <w:t xml:space="preserve">2.1 Средние показатели</w:t>
      </w:r>
    </w:p>
    <w:p>
      <w:pPr>
        <w:pStyle w:val="FirstParagraph"/>
      </w:pPr>
      <w:r>
        <w:t xml:space="preserve">Рассмотрим таблицы и графики, отражающие различные распределения показателей. Отметим, что за исследуемый промежуток времени общее суммарное значение показателя составило 33 286 424. Найдем суммарные показатели по различным категориям. Как видно из таблицы ниже, более половины значений приходится на сельские населенные пункты.</w:t>
      </w:r>
    </w:p>
    <w:bookmarkStart w:id="25" w:name="tbl-total_distances"/>
    <w:p>
      <w:pPr>
        <w:pStyle w:val="TableCaption"/>
      </w:pPr>
      <w:r>
        <w:t xml:space="preserve">Таблица 1: Суммарные показатели по типам населенных пунктов</w:t>
      </w:r>
    </w:p>
    <w:tbl>
      <w:tblPr>
        <w:tblStyle w:val="Table"/>
        <w:tblW w:type="auto" w:w="0"/>
        <w:tblLook w:firstRow="1" w:lastRow="0" w:firstColumn="0" w:lastColumn="0" w:noHBand="0" w:noVBand="0" w:val="0020"/>
        <w:jc w:val="start"/>
        <w:tblCaption w:val="Таблица 1: Суммарные показатели по типам населенных пунктов"/>
      </w:tblPr>
      <w:tblGrid>
        <w:gridCol w:w="1980"/>
        <w:gridCol w:w="1980"/>
        <w:gridCol w:w="1980"/>
        <w:gridCol w:w="1980"/>
      </w:tblGrid>
      <w:tr>
        <w:trPr>
          <w:tblHeader w:val="true"/>
        </w:trPr>
        <w:tc>
          <w:tcPr/>
          <w:p>
            <w:pPr>
              <w:pStyle w:val="Compact"/>
            </w:pPr>
          </w:p>
        </w:tc>
        <w:tc>
          <w:tcPr/>
          <w:p>
            <w:pPr>
              <w:pStyle w:val="Compact"/>
              <w:jc w:val="left"/>
            </w:pPr>
            <w:r>
              <w:t xml:space="preserve">тип населенного пункта</w:t>
            </w:r>
          </w:p>
        </w:tc>
        <w:tc>
          <w:tcPr/>
          <w:p>
            <w:pPr>
              <w:pStyle w:val="Compact"/>
              <w:jc w:val="left"/>
            </w:pPr>
            <w:r>
              <w:t xml:space="preserve">показатель</w:t>
            </w:r>
          </w:p>
        </w:tc>
        <w:tc>
          <w:tcPr/>
          <w:p>
            <w:pPr>
              <w:pStyle w:val="Compact"/>
              <w:jc w:val="left"/>
            </w:pPr>
            <w:r>
              <w:t xml:space="preserve">процент</w:t>
            </w:r>
          </w:p>
        </w:tc>
      </w:tr>
      <w:tr>
        <w:tc>
          <w:tcPr/>
          <w:p>
            <w:pPr>
              <w:pStyle w:val="Compact"/>
              <w:jc w:val="left"/>
            </w:pPr>
            <w:r>
              <w:t xml:space="preserve">1</w:t>
            </w:r>
          </w:p>
        </w:tc>
        <w:tc>
          <w:tcPr/>
          <w:p>
            <w:pPr>
              <w:pStyle w:val="Compact"/>
              <w:jc w:val="left"/>
            </w:pPr>
            <w:r>
              <w:t xml:space="preserve">Сельский населенный пункт</w:t>
            </w:r>
          </w:p>
        </w:tc>
        <w:tc>
          <w:tcPr/>
          <w:p>
            <w:pPr>
              <w:pStyle w:val="Compact"/>
              <w:jc w:val="left"/>
            </w:pPr>
            <w:r>
              <w:t xml:space="preserve">17 756 913</w:t>
            </w:r>
          </w:p>
        </w:tc>
        <w:tc>
          <w:tcPr/>
          <w:p>
            <w:pPr>
              <w:pStyle w:val="Compact"/>
              <w:jc w:val="left"/>
            </w:pPr>
            <w:r>
              <w:t xml:space="preserve">53,35%</w:t>
            </w:r>
          </w:p>
        </w:tc>
      </w:tr>
      <w:tr>
        <w:tc>
          <w:tcPr/>
          <w:p>
            <w:pPr>
              <w:pStyle w:val="Compact"/>
              <w:jc w:val="left"/>
            </w:pPr>
            <w:r>
              <w:t xml:space="preserve">2</w:t>
            </w:r>
          </w:p>
        </w:tc>
        <w:tc>
          <w:tcPr/>
          <w:p>
            <w:pPr>
              <w:pStyle w:val="Compact"/>
              <w:jc w:val="left"/>
            </w:pPr>
            <w:r>
              <w:t xml:space="preserve">Город</w:t>
            </w:r>
          </w:p>
        </w:tc>
        <w:tc>
          <w:tcPr/>
          <w:p>
            <w:pPr>
              <w:pStyle w:val="Compact"/>
              <w:jc w:val="left"/>
            </w:pPr>
            <w:r>
              <w:t xml:space="preserve">11 240 888</w:t>
            </w:r>
          </w:p>
        </w:tc>
        <w:tc>
          <w:tcPr/>
          <w:p>
            <w:pPr>
              <w:pStyle w:val="Compact"/>
              <w:jc w:val="left"/>
            </w:pPr>
            <w:r>
              <w:t xml:space="preserve">33,77%</w:t>
            </w:r>
          </w:p>
        </w:tc>
      </w:tr>
      <w:tr>
        <w:tc>
          <w:tcPr/>
          <w:p>
            <w:pPr>
              <w:pStyle w:val="Compact"/>
              <w:jc w:val="left"/>
            </w:pPr>
            <w:r>
              <w:t xml:space="preserve">3</w:t>
            </w:r>
          </w:p>
        </w:tc>
        <w:tc>
          <w:tcPr/>
          <w:p>
            <w:pPr>
              <w:pStyle w:val="Compact"/>
              <w:jc w:val="left"/>
            </w:pPr>
            <w:r>
              <w:t xml:space="preserve">Вне территории населенного пункта</w:t>
            </w:r>
          </w:p>
        </w:tc>
        <w:tc>
          <w:tcPr/>
          <w:p>
            <w:pPr>
              <w:pStyle w:val="Compact"/>
              <w:jc w:val="left"/>
            </w:pPr>
            <w:r>
              <w:t xml:space="preserve">2 835 312</w:t>
            </w:r>
          </w:p>
        </w:tc>
        <w:tc>
          <w:tcPr/>
          <w:p>
            <w:pPr>
              <w:pStyle w:val="Compact"/>
              <w:jc w:val="left"/>
            </w:pPr>
            <w:r>
              <w:t xml:space="preserve">8,52%</w:t>
            </w:r>
          </w:p>
        </w:tc>
      </w:tr>
      <w:tr>
        <w:tc>
          <w:tcPr/>
          <w:p>
            <w:pPr>
              <w:pStyle w:val="Compact"/>
              <w:jc w:val="left"/>
            </w:pPr>
            <w:r>
              <w:t xml:space="preserve">4</w:t>
            </w:r>
          </w:p>
        </w:tc>
        <w:tc>
          <w:tcPr/>
          <w:p>
            <w:pPr>
              <w:pStyle w:val="Compact"/>
              <w:jc w:val="left"/>
            </w:pPr>
            <w:r>
              <w:t xml:space="preserve">Населенный пункт городского типа</w:t>
            </w:r>
          </w:p>
        </w:tc>
        <w:tc>
          <w:tcPr/>
          <w:p>
            <w:pPr>
              <w:pStyle w:val="Compact"/>
              <w:jc w:val="left"/>
            </w:pPr>
            <w:r>
              <w:t xml:space="preserve">1 346 053</w:t>
            </w:r>
          </w:p>
        </w:tc>
        <w:tc>
          <w:tcPr/>
          <w:p>
            <w:pPr>
              <w:pStyle w:val="Compact"/>
              <w:jc w:val="left"/>
            </w:pPr>
            <w:r>
              <w:t xml:space="preserve">4,04%</w:t>
            </w:r>
          </w:p>
        </w:tc>
      </w:tr>
      <w:tr>
        <w:tc>
          <w:tcPr/>
          <w:p>
            <w:pPr>
              <w:pStyle w:val="Compact"/>
              <w:jc w:val="left"/>
            </w:pPr>
            <w:r>
              <w:t xml:space="preserve">5</w:t>
            </w:r>
          </w:p>
        </w:tc>
        <w:tc>
          <w:tcPr/>
          <w:p>
            <w:pPr>
              <w:pStyle w:val="Compact"/>
              <w:jc w:val="left"/>
            </w:pPr>
            <w:r>
              <w:t xml:space="preserve">Станция</w:t>
            </w:r>
          </w:p>
        </w:tc>
        <w:tc>
          <w:tcPr/>
          <w:p>
            <w:pPr>
              <w:pStyle w:val="Compact"/>
              <w:jc w:val="left"/>
            </w:pPr>
            <w:r>
              <w:t xml:space="preserve">68 661</w:t>
            </w:r>
          </w:p>
        </w:tc>
        <w:tc>
          <w:tcPr/>
          <w:p>
            <w:pPr>
              <w:pStyle w:val="Compact"/>
              <w:jc w:val="left"/>
            </w:pPr>
            <w:r>
              <w:t xml:space="preserve">0,21%</w:t>
            </w:r>
          </w:p>
        </w:tc>
      </w:tr>
      <w:tr>
        <w:tc>
          <w:tcPr/>
          <w:p>
            <w:pPr>
              <w:pStyle w:val="Compact"/>
              <w:jc w:val="left"/>
            </w:pPr>
            <w:r>
              <w:t xml:space="preserve">6</w:t>
            </w:r>
          </w:p>
        </w:tc>
        <w:tc>
          <w:tcPr/>
          <w:p>
            <w:pPr>
              <w:pStyle w:val="Compact"/>
              <w:jc w:val="left"/>
            </w:pPr>
            <w:r>
              <w:t xml:space="preserve">Вахтовый поселок</w:t>
            </w:r>
          </w:p>
        </w:tc>
        <w:tc>
          <w:tcPr/>
          <w:p>
            <w:pPr>
              <w:pStyle w:val="Compact"/>
              <w:jc w:val="left"/>
            </w:pPr>
            <w:r>
              <w:t xml:space="preserve">15 773</w:t>
            </w:r>
          </w:p>
        </w:tc>
        <w:tc>
          <w:tcPr/>
          <w:p>
            <w:pPr>
              <w:pStyle w:val="Compact"/>
              <w:jc w:val="left"/>
            </w:pPr>
            <w:r>
              <w:t xml:space="preserve">0,05%</w:t>
            </w:r>
          </w:p>
        </w:tc>
      </w:tr>
      <w:tr>
        <w:tc>
          <w:tcPr/>
          <w:p>
            <w:pPr>
              <w:pStyle w:val="Compact"/>
              <w:jc w:val="left"/>
            </w:pPr>
            <w:r>
              <w:t xml:space="preserve">7</w:t>
            </w:r>
          </w:p>
        </w:tc>
        <w:tc>
          <w:tcPr/>
          <w:p>
            <w:pPr>
              <w:pStyle w:val="Compact"/>
              <w:jc w:val="left"/>
            </w:pPr>
            <w:r>
              <w:t xml:space="preserve">Жилой поселок при станции</w:t>
            </w:r>
          </w:p>
        </w:tc>
        <w:tc>
          <w:tcPr/>
          <w:p>
            <w:pPr>
              <w:pStyle w:val="Compact"/>
              <w:jc w:val="left"/>
            </w:pPr>
            <w:r>
              <w:t xml:space="preserve">11 391</w:t>
            </w:r>
          </w:p>
        </w:tc>
        <w:tc>
          <w:tcPr/>
          <w:p>
            <w:pPr>
              <w:pStyle w:val="Compact"/>
              <w:jc w:val="left"/>
            </w:pPr>
            <w:r>
              <w:t xml:space="preserve">0,03%</w:t>
            </w:r>
          </w:p>
        </w:tc>
      </w:tr>
      <w:tr>
        <w:tc>
          <w:tcPr/>
          <w:p>
            <w:pPr>
              <w:pStyle w:val="Compact"/>
              <w:jc w:val="left"/>
            </w:pPr>
            <w:r>
              <w:t xml:space="preserve">8</w:t>
            </w:r>
          </w:p>
        </w:tc>
        <w:tc>
          <w:tcPr/>
          <w:p>
            <w:pPr>
              <w:pStyle w:val="Compact"/>
              <w:jc w:val="left"/>
            </w:pPr>
            <w:r>
              <w:t xml:space="preserve">Разъезд, перегон</w:t>
            </w:r>
          </w:p>
        </w:tc>
        <w:tc>
          <w:tcPr/>
          <w:p>
            <w:pPr>
              <w:pStyle w:val="Compact"/>
              <w:jc w:val="left"/>
            </w:pPr>
            <w:r>
              <w:t xml:space="preserve">10 580</w:t>
            </w:r>
          </w:p>
        </w:tc>
        <w:tc>
          <w:tcPr/>
          <w:p>
            <w:pPr>
              <w:pStyle w:val="Compact"/>
              <w:jc w:val="left"/>
            </w:pPr>
            <w:r>
              <w:t xml:space="preserve">0,03%</w:t>
            </w:r>
          </w:p>
        </w:tc>
      </w:tr>
      <w:tr>
        <w:tc>
          <w:tcPr/>
          <w:p>
            <w:pPr>
              <w:pStyle w:val="Compact"/>
              <w:jc w:val="left"/>
            </w:pPr>
            <w:r>
              <w:t xml:space="preserve">9</w:t>
            </w:r>
          </w:p>
        </w:tc>
        <w:tc>
          <w:tcPr/>
          <w:p>
            <w:pPr>
              <w:pStyle w:val="Compact"/>
              <w:jc w:val="left"/>
            </w:pPr>
            <w:r>
              <w:t xml:space="preserve">не указан</w:t>
            </w:r>
          </w:p>
        </w:tc>
        <w:tc>
          <w:tcPr/>
          <w:p>
            <w:pPr>
              <w:pStyle w:val="Compact"/>
              <w:jc w:val="left"/>
            </w:pPr>
            <w:r>
              <w:t xml:space="preserve">853</w:t>
            </w:r>
          </w:p>
        </w:tc>
        <w:tc>
          <w:tcPr/>
          <w:p>
            <w:pPr>
              <w:pStyle w:val="Compact"/>
              <w:jc w:val="left"/>
            </w:pPr>
            <w:r>
              <w:t xml:space="preserve">0,00%</w:t>
            </w:r>
          </w:p>
        </w:tc>
      </w:tr>
    </w:tbl>
    <w:bookmarkEnd w:id="25"/>
    <w:p>
      <w:pPr>
        <w:pStyle w:val="a0"/>
      </w:pPr>
      <w:r>
        <w:t xml:space="preserve"> </w:t>
      </w:r>
    </w:p>
    <w:tbl>
      <w:tblPr>
        <w:tblStyle w:val="Table"/>
        <w:tblW w:type="pct" w:w="5000"/>
        <w:tblLook w:firstRow="0" w:lastRow="0" w:firstColumn="0" w:lastColumn="0" w:noHBand="0" w:noVBand="0" w:val="0000"/>
        <w:jc w:val="start"/>
      </w:tblPr>
      <w:tblGrid>
        <w:gridCol w:w="7920"/>
      </w:tblGrid>
      <w:tr>
        <w:tc>
          <w:tcPr/>
          <w:bookmarkStart w:id="29" w:name="fig-map_speed"/>
          <w:p>
            <w:pPr>
              <w:jc w:val="center"/>
            </w:pPr>
            <w:r>
              <w:drawing>
                <wp:inline>
                  <wp:extent cx="6146800" cy="5977763"/>
                  <wp:effectExtent b="0" l="0" r="0" t="0"/>
                  <wp:docPr descr="" title="" id="27" name="Picture"/>
                  <a:graphic>
                    <a:graphicData uri="http://schemas.openxmlformats.org/drawingml/2006/picture">
                      <pic:pic>
                        <pic:nvPicPr>
                          <pic:cNvPr descr="images/map_speed.png" id="28" name="Picture"/>
                          <pic:cNvPicPr>
                            <a:picLocks noChangeArrowheads="1" noChangeAspect="1"/>
                          </pic:cNvPicPr>
                        </pic:nvPicPr>
                        <pic:blipFill>
                          <a:blip r:embed="rId26"/>
                          <a:stretch>
                            <a:fillRect/>
                          </a:stretch>
                        </pic:blipFill>
                        <pic:spPr bwMode="auto">
                          <a:xfrm>
                            <a:off x="0" y="0"/>
                            <a:ext cx="6146800" cy="5977763"/>
                          </a:xfrm>
                          <a:prstGeom prst="rect">
                            <a:avLst/>
                          </a:prstGeom>
                          <a:noFill/>
                          <a:ln w="9525">
                            <a:noFill/>
                            <a:headEnd/>
                            <a:tailEnd/>
                          </a:ln>
                        </pic:spPr>
                      </pic:pic>
                    </a:graphicData>
                  </a:graphic>
                </wp:inline>
              </w:drawing>
            </w:r>
          </w:p>
          <w:p>
            <w:pPr>
              <w:jc w:val="center"/>
            </w:pPr>
            <w:pPr>
              <w:jc w:val="start"/>
              <w:spacing w:before="200"/>
              <w:pStyle w:val="ImageCaption"/>
            </w:pPr>
            <w:r>
              <w:t xml:space="preserve">Рисунок 1: Карта: значения показателя в Российской Федерации с 2010 по 2020 год по регионам; разделение цвета соответствует средней скорости, равной 31,65 км/ч</w:t>
            </w:r>
          </w:p>
          <w:bookmarkEnd w:id="29"/>
        </w:tc>
      </w:tr>
    </w:tbl>
    <w:p>
      <w:pPr>
        <w:pStyle w:val="a0"/>
      </w:pPr>
      <w:r>
        <w:t xml:space="preserve">Пример кода:</w:t>
      </w:r>
    </w:p>
    <w:p>
      <w:pPr>
        <w:pStyle w:val="SourceCode"/>
      </w:pPr>
      <w:r>
        <w:rPr>
          <w:rStyle w:val="FunctionTok"/>
        </w:rPr>
        <w:t xml:space="preserve">linear_reg</w:t>
      </w:r>
      <w:r>
        <w:rPr>
          <w:rStyle w:val="NormalTok"/>
        </w:rPr>
        <w:t xml:space="preserve">() </w:t>
      </w:r>
      <w:r>
        <w:rPr>
          <w:rStyle w:val="SpecialCharTok"/>
        </w:rPr>
        <w:t xml:space="preserve">|&gt;</w:t>
      </w:r>
      <w:r>
        <w:br/>
      </w:r>
      <w:r>
        <w:rPr>
          <w:rStyle w:val="NormalTok"/>
        </w:rPr>
        <w:t xml:space="preserve">  </w:t>
      </w:r>
      <w:r>
        <w:rPr>
          <w:rStyle w:val="FunctionTok"/>
        </w:rPr>
        <w:t xml:space="preserve">set_engine</w:t>
      </w:r>
      <w:r>
        <w:rPr>
          <w:rStyle w:val="NormalTok"/>
        </w:rPr>
        <w:t xml:space="preserve">(</w:t>
      </w:r>
      <w:r>
        <w:rPr>
          <w:rStyle w:val="StringTok"/>
        </w:rPr>
        <w:t xml:space="preserve">"keras"</w:t>
      </w:r>
      <w:r>
        <w:rPr>
          <w:rStyle w:val="NormalTok"/>
        </w:rPr>
        <w:t xml:space="preserve">)</w:t>
      </w:r>
      <w:r>
        <w:br/>
      </w:r>
      <w:r>
        <w:rPr>
          <w:rStyle w:val="CommentTok"/>
        </w:rPr>
        <w:t xml:space="preserve">#&gt; Linear Regression Model Specification (regression)</w:t>
      </w:r>
      <w:r>
        <w:br/>
      </w:r>
      <w:r>
        <w:rPr>
          <w:rStyle w:val="CommentTok"/>
        </w:rPr>
        <w:t xml:space="preserve">#&gt; </w:t>
      </w:r>
      <w:r>
        <w:br/>
      </w:r>
      <w:r>
        <w:rPr>
          <w:rStyle w:val="CommentTok"/>
        </w:rPr>
        <w:t xml:space="preserve">#&gt; Computational engine: keras</w:t>
      </w:r>
    </w:p>
    <w:bookmarkEnd w:id="30"/>
    <w:bookmarkEnd w:id="31"/>
    <w:bookmarkStart w:id="32" w:name="обсуждение"/>
    <w:p>
      <w:pPr>
        <w:pStyle w:val="1"/>
      </w:pPr>
      <w:r>
        <w:t xml:space="preserve">3. Обсуждение</w:t>
      </w:r>
    </w:p>
    <w:p>
      <w:pPr>
        <w:pStyle w:val="FirstParagraph"/>
      </w:pPr>
      <w:r>
        <w:t xml:space="preserve">Из полученных результатов можно сделать следующие выводы: …</w:t>
      </w:r>
    </w:p>
    <w:bookmarkEnd w:id="32"/>
    <w:bookmarkStart w:id="38" w:name="заключение"/>
    <w:p>
      <w:pPr>
        <w:pStyle w:val="1"/>
      </w:pPr>
      <w:r>
        <w:t xml:space="preserve">Заключение</w:t>
      </w:r>
    </w:p>
    <w:p>
      <w:pPr>
        <w:pStyle w:val="FirstParagraph"/>
      </w:pPr>
      <w:r>
        <w:t xml:space="preserve">В работе были кратко рассмотрены статистические данные по некоторым основным параметрам, характеризующим …</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a0"/>
            </w:pPr>
            <w:pPr>
              <w:spacing w:before="0" w:after="0"/>
              <w:textAlignment w:val="center"/>
            </w:pPr>
            <w:r>
              <w:drawing>
                <wp:inline>
                  <wp:extent cx="152400" cy="152400"/>
                  <wp:effectExtent b="0" l="0" r="0" t="0"/>
                  <wp:docPr descr="" title="" id="34" name="Picture"/>
                  <a:graphic>
                    <a:graphicData uri="http://schemas.openxmlformats.org/drawingml/2006/picture">
                      <pic:pic>
                        <pic:nvPicPr>
                          <pic:cNvPr descr="/Applications/quarto/share/formats/docx/tip.png" id="35" name="Picture"/>
                          <pic:cNvPicPr>
                            <a:picLocks noChangeArrowheads="1" noChangeAspect="1"/>
                          </pic:cNvPicPr>
                        </pic:nvPicPr>
                        <pic:blipFill>
                          <a:blip r:embed="rId3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Замечание</w:t>
            </w:r>
          </w:p>
        </w:tc>
      </w:tr>
      <w:tr>
        <w:trPr>
          <w:cantSplit/>
        </w:trPr>
        <w:tc>
          <w:tcPr>
            <w:tcMar>
              <w:top w:w="108" w:type="dxa"/>
              <w:bottom w:w="108" w:type="dxa"/>
            </w:tcMar>
          </w:tcPr>
          <w:p>
            <w:pPr>
              <w:pStyle w:val="a0"/>
            </w:pPr>
            <w:pPr>
              <w:spacing w:before="16" w:after="16"/>
            </w:pPr>
            <w:r>
              <w:t xml:space="preserve">Обратите внимание, что в нижней части содержания HTML-страницы имеется ссылка на MS Word документ в разделе «Другие форматы». MS Word-документ рендерится автоматически благодаря</w:t>
            </w:r>
            <w:r>
              <w:t xml:space="preserve"> </w:t>
            </w:r>
            <w:hyperlink r:id="rId36">
              <w:r>
                <w:rPr>
                  <w:rStyle w:val="ad"/>
                </w:rPr>
                <w:t xml:space="preserve">шаблону с соответствующими стилями</w:t>
              </w:r>
            </w:hyperlink>
            <w:r>
              <w:t xml:space="preserve"> </w:t>
            </w:r>
            <w:r>
              <w:t xml:space="preserve">и соответствующему указанию в YAML-преамбуле в Quarto версии &gt;1.3, как это описано</w:t>
            </w:r>
            <w:r>
              <w:t xml:space="preserve"> </w:t>
            </w:r>
            <w:hyperlink r:id="rId37">
              <w:r>
                <w:rPr>
                  <w:rStyle w:val="ad"/>
                </w:rPr>
                <w:t xml:space="preserve">на странице</w:t>
              </w:r>
            </w:hyperlink>
            <w:r>
              <w:t xml:space="preserve">.</w:t>
            </w:r>
          </w:p>
        </w:tc>
      </w:tr>
    </w:tbl>
    <w:bookmarkEnd w:id="38"/>
    <w:bookmarkStart w:id="50" w:name="список-литературы"/>
    <w:p>
      <w:pPr>
        <w:pStyle w:val="1"/>
      </w:pPr>
      <w:r>
        <w:t xml:space="preserve">Список литературы</w:t>
      </w:r>
    </w:p>
    <w:bookmarkStart w:id="49" w:name="refs"/>
    <w:bookmarkStart w:id="40" w:name="ref-Boeing"/>
    <w:p>
      <w:pPr>
        <w:pStyle w:val="a7"/>
      </w:pPr>
      <w:r>
        <w:t xml:space="preserve">1.</w:t>
      </w:r>
      <w:r>
        <w:t xml:space="preserve"> </w:t>
      </w:r>
      <w:r>
        <w:t xml:space="preserve">	</w:t>
      </w:r>
      <w:r>
        <w:t xml:space="preserve">Liu S. и др.</w:t>
      </w:r>
      <w:r>
        <w:t xml:space="preserve"> </w:t>
      </w:r>
      <w:hyperlink r:id="rId39">
        <w:r>
          <w:rPr>
            <w:rStyle w:val="ad"/>
          </w:rPr>
          <w:t xml:space="preserve">A Generalized Framework for Measuring Pedestrian Accessibility around the World Using Open Data</w:t>
        </w:r>
      </w:hyperlink>
      <w:r>
        <w:t xml:space="preserve"> </w:t>
      </w:r>
      <w:r>
        <w:t xml:space="preserve">// Geographical Analysis. 2022. Т. 54, № 3. С. 559–582.</w:t>
      </w:r>
    </w:p>
    <w:bookmarkEnd w:id="40"/>
    <w:bookmarkStart w:id="41" w:name="ref-FZ123"/>
    <w:p>
      <w:pPr>
        <w:pStyle w:val="a7"/>
      </w:pPr>
      <w:r>
        <w:t xml:space="preserve">2.</w:t>
      </w:r>
      <w:r>
        <w:t xml:space="preserve"> </w:t>
      </w:r>
      <w:r>
        <w:t xml:space="preserve">	</w:t>
      </w:r>
      <w:r>
        <w:t xml:space="preserve">Федеральный</w:t>
      </w:r>
      <w:r>
        <w:t xml:space="preserve"> </w:t>
      </w:r>
      <w:r>
        <w:t xml:space="preserve">з</w:t>
      </w:r>
      <w:r>
        <w:t xml:space="preserve">акон</w:t>
      </w:r>
      <w:r>
        <w:t xml:space="preserve"> </w:t>
      </w:r>
      <w:r>
        <w:t xml:space="preserve">о</w:t>
      </w:r>
      <w:r>
        <w:t xml:space="preserve">т 11</w:t>
      </w:r>
      <w:r>
        <w:t xml:space="preserve"> </w:t>
      </w:r>
      <w:r>
        <w:t xml:space="preserve">м</w:t>
      </w:r>
      <w:r>
        <w:t xml:space="preserve">ая 2008</w:t>
      </w:r>
      <w:r>
        <w:t xml:space="preserve"> </w:t>
      </w:r>
      <w:r>
        <w:t xml:space="preserve">г</w:t>
      </w:r>
      <w:r>
        <w:t xml:space="preserve">. № 123-ФЗ «</w:t>
      </w:r>
      <w:r>
        <w:t xml:space="preserve">Т</w:t>
      </w:r>
      <w:r>
        <w:t xml:space="preserve">ехнический</w:t>
      </w:r>
      <w:r>
        <w:t xml:space="preserve"> </w:t>
      </w:r>
      <w:r>
        <w:t xml:space="preserve">р</w:t>
      </w:r>
      <w:r>
        <w:t xml:space="preserve">егламент» (</w:t>
      </w:r>
      <w:r>
        <w:t xml:space="preserve">с</w:t>
      </w:r>
      <w:r>
        <w:t xml:space="preserve"> </w:t>
      </w:r>
      <w:r>
        <w:t xml:space="preserve">и</w:t>
      </w:r>
      <w:r>
        <w:t xml:space="preserve">зменениями</w:t>
      </w:r>
      <w:r>
        <w:t xml:space="preserve"> </w:t>
      </w:r>
      <w:r>
        <w:t xml:space="preserve">и</w:t>
      </w:r>
      <w:r>
        <w:t xml:space="preserve"> </w:t>
      </w:r>
      <w:r>
        <w:t xml:space="preserve">д</w:t>
      </w:r>
      <w:r>
        <w:t xml:space="preserve">ополнениями). 2008.</w:t>
      </w:r>
    </w:p>
    <w:bookmarkEnd w:id="41"/>
    <w:bookmarkStart w:id="42" w:name="ref-NIR_2022"/>
    <w:p>
      <w:pPr>
        <w:pStyle w:val="a7"/>
      </w:pPr>
      <w:r>
        <w:t xml:space="preserve">3.</w:t>
      </w:r>
      <w:r>
        <w:t xml:space="preserve"> </w:t>
      </w:r>
      <w:r>
        <w:t xml:space="preserve">	</w:t>
      </w:r>
      <w:r>
        <w:t xml:space="preserve">Баталов А.А., Маркин О.О., Исполнитель И.И. Отчет о НИР «Разработка научно-практических подходов и методов». Наукоград, 2022.</w:t>
      </w:r>
    </w:p>
    <w:bookmarkEnd w:id="42"/>
    <w:bookmarkStart w:id="43" w:name="ref-Ivanov"/>
    <w:p>
      <w:pPr>
        <w:pStyle w:val="a7"/>
      </w:pPr>
      <w:r>
        <w:t xml:space="preserve">4.</w:t>
      </w:r>
      <w:r>
        <w:t xml:space="preserve"> </w:t>
      </w:r>
      <w:r>
        <w:t xml:space="preserve">	</w:t>
      </w:r>
      <w:r>
        <w:t xml:space="preserve">Иванов А.Н. Диссертация</w:t>
      </w:r>
      <w:r>
        <w:t xml:space="preserve"> </w:t>
      </w:r>
      <w:r>
        <w:t xml:space="preserve">н</w:t>
      </w:r>
      <w:r>
        <w:t xml:space="preserve">а</w:t>
      </w:r>
      <w:r>
        <w:t xml:space="preserve"> </w:t>
      </w:r>
      <w:r>
        <w:t xml:space="preserve">с</w:t>
      </w:r>
      <w:r>
        <w:t xml:space="preserve">оискание</w:t>
      </w:r>
      <w:r>
        <w:t xml:space="preserve"> </w:t>
      </w:r>
      <w:r>
        <w:t xml:space="preserve">у</w:t>
      </w:r>
      <w:r>
        <w:t xml:space="preserve">ченой</w:t>
      </w:r>
      <w:r>
        <w:t xml:space="preserve"> </w:t>
      </w:r>
      <w:r>
        <w:t xml:space="preserve">с</w:t>
      </w:r>
      <w:r>
        <w:t xml:space="preserve">тепени</w:t>
      </w:r>
      <w:r>
        <w:t xml:space="preserve"> </w:t>
      </w:r>
      <w:r>
        <w:t xml:space="preserve">к</w:t>
      </w:r>
      <w:r>
        <w:t xml:space="preserve">андидат</w:t>
      </w:r>
      <w:r>
        <w:t xml:space="preserve"> </w:t>
      </w:r>
      <w:r>
        <w:t xml:space="preserve">т</w:t>
      </w:r>
      <w:r>
        <w:t xml:space="preserve">ехнических</w:t>
      </w:r>
      <w:r>
        <w:t xml:space="preserve"> </w:t>
      </w:r>
      <w:r>
        <w:t xml:space="preserve">н</w:t>
      </w:r>
      <w:r>
        <w:t xml:space="preserve">аук «</w:t>
      </w:r>
      <w:r>
        <w:t xml:space="preserve">И</w:t>
      </w:r>
      <w:r>
        <w:t xml:space="preserve">нформационно-аналитическая</w:t>
      </w:r>
      <w:r>
        <w:t xml:space="preserve"> </w:t>
      </w:r>
      <w:r>
        <w:t xml:space="preserve">п</w:t>
      </w:r>
      <w:r>
        <w:t xml:space="preserve">оддержка</w:t>
      </w:r>
      <w:r>
        <w:t xml:space="preserve"> </w:t>
      </w:r>
      <w:r>
        <w:t xml:space="preserve">у</w:t>
      </w:r>
      <w:r>
        <w:t xml:space="preserve">правления». Москва, 2018.</w:t>
      </w:r>
    </w:p>
    <w:bookmarkEnd w:id="43"/>
    <w:bookmarkStart w:id="44" w:name="ref-r-s"/>
    <w:p>
      <w:pPr>
        <w:pStyle w:val="a7"/>
      </w:pPr>
      <w:r>
        <w:t xml:space="preserve">5.</w:t>
      </w:r>
      <w:r>
        <w:t xml:space="preserve"> </w:t>
      </w:r>
      <w:r>
        <w:t xml:space="preserve">	</w:t>
      </w:r>
      <w:r>
        <w:t xml:space="preserve">Wickham H. R and S // Encyclopedia of Environmetrics. 2013.</w:t>
      </w:r>
    </w:p>
    <w:bookmarkEnd w:id="44"/>
    <w:bookmarkStart w:id="45" w:name="ref-stat-graphics"/>
    <w:p>
      <w:pPr>
        <w:pStyle w:val="a7"/>
      </w:pPr>
      <w:r>
        <w:t xml:space="preserve">6.</w:t>
      </w:r>
      <w:r>
        <w:t xml:space="preserve"> </w:t>
      </w:r>
      <w:r>
        <w:t xml:space="preserve">	</w:t>
      </w:r>
      <w:r>
        <w:t xml:space="preserve">Wickham H. Statistical graphics // Encyclopedia of Environmetrics. 2013.</w:t>
      </w:r>
    </w:p>
    <w:bookmarkEnd w:id="45"/>
    <w:bookmarkStart w:id="47" w:name="ref-model-vis"/>
    <w:p>
      <w:pPr>
        <w:pStyle w:val="a7"/>
      </w:pPr>
      <w:r>
        <w:t xml:space="preserve">7.</w:t>
      </w:r>
      <w:r>
        <w:t xml:space="preserve"> </w:t>
      </w:r>
      <w:r>
        <w:t xml:space="preserve">	</w:t>
      </w:r>
      <w:r>
        <w:t xml:space="preserve">Wickham H., Cook D., Hofmann H.</w:t>
      </w:r>
      <w:r>
        <w:t xml:space="preserve"> </w:t>
      </w:r>
      <w:hyperlink r:id="rId46">
        <w:r>
          <w:rPr>
            <w:rStyle w:val="ad"/>
          </w:rPr>
          <w:t xml:space="preserve">Visualizing statistical models: Removing the blindfold</w:t>
        </w:r>
      </w:hyperlink>
      <w:r>
        <w:t xml:space="preserve"> </w:t>
      </w:r>
      <w:r>
        <w:t xml:space="preserve">// Statistical Analysis and Data Mining: The ASA Data Science Journal. 2015. Т. 8, № 4. С. 203–225.</w:t>
      </w:r>
    </w:p>
    <w:bookmarkEnd w:id="47"/>
    <w:bookmarkStart w:id="48" w:name="ref-embedded-plots"/>
    <w:p>
      <w:pPr>
        <w:pStyle w:val="a7"/>
      </w:pPr>
      <w:r>
        <w:t xml:space="preserve">8.</w:t>
      </w:r>
      <w:r>
        <w:t xml:space="preserve"> </w:t>
      </w:r>
      <w:r>
        <w:t xml:space="preserve">	</w:t>
      </w:r>
      <w:r>
        <w:t xml:space="preserve">Grolemund G., Wickham H. Visualizing Complex Data with Embedded Plots // Journal of Computational and Graphical Statistics. 2015. Т. 24, № 1. С. 26–43.</w:t>
      </w:r>
    </w:p>
    <w:bookmarkEnd w:id="48"/>
    <w:bookmarkEnd w:id="49"/>
    <w:bookmarkEnd w:id="50"/>
    <w:sectPr w:rsidR="00AB7E2C" w:rsidRPr="00AB7E2C">
      <w:pgSz w:h="15840" w:w="12240"/>
      <w:pgMar w:bottom="1134" w:footer="720" w:gutter="0" w:header="720" w:left="1701" w:right="850" w:top="1134"/>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15:restartNumberingAfterBreak="0" w:abstractNumId="0">
    <w:nsid w:val="170CD2DE"/>
    <w:multiLevelType w:val="multilevel"/>
    <w:tmpl w:val="5BA2F3E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
    <w:abstractNumId w:val="0"/>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15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Setting w:name="useWord2013TrackBottomHyphenation" w:uri="http://schemas.microsoft.com/office/word" w:val="1"/>
  </w:compat>
  <m:mathPr>
    <m:mathFont m:val="Cambria Math"/>
    <m:brkBin m:val="before"/>
    <m:brkBinSub m:val="--"/>
    <m:smallFrac m:val="0"/>
    <m:dispDef/>
    <m:lMargin m:val="0"/>
    <m:rMargin m:val="0"/>
    <m:defJc m:val="centerGroup"/>
    <m:wrapRight/>
    <m:intLim m:val="subSup"/>
    <m:naryLim m:val="undOvr"/>
  </m:mathPr>
  <w:themeFontLang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heme="minorHAnsi" w:cstheme="minorBidi" w:eastAsiaTheme="minorHAnsi" w:hAnsiTheme="minorHAnsi"/>
        <w:sz w:val="24"/>
        <w:szCs w:val="24"/>
        <w:lang w:bidi="ar-SA" w:eastAsia="en-US" w:val="ru"/>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a" w:type="paragraph">
    <w:name w:val="Normal"/>
    <w:qFormat/>
    <w:rsid w:val="006D00F2"/>
    <w:pPr>
      <w:jc w:val="both"/>
    </w:pPr>
    <w:rPr>
      <w:rFonts w:ascii="Times New Roman" w:hAnsi="Times New Roman"/>
      <w:sz w:val="28"/>
    </w:rPr>
  </w:style>
  <w:style w:styleId="1" w:type="paragraph">
    <w:name w:val="heading 1"/>
    <w:basedOn w:val="a"/>
    <w:next w:val="a0"/>
    <w:uiPriority w:val="9"/>
    <w:rsid w:val="004C65BD"/>
    <w:pPr>
      <w:keepNext/>
      <w:keepLines/>
      <w:spacing w:after="0" w:before="480"/>
      <w:outlineLvl w:val="0"/>
    </w:pPr>
    <w:rPr>
      <w:rFonts w:cstheme="majorBidi" w:eastAsiaTheme="majorEastAsia"/>
      <w:b/>
      <w:bCs/>
      <w:sz w:val="32"/>
      <w:szCs w:val="32"/>
    </w:rPr>
  </w:style>
  <w:style w:styleId="2" w:type="paragraph">
    <w:name w:val="heading 2"/>
    <w:basedOn w:val="a"/>
    <w:next w:val="a0"/>
    <w:uiPriority w:val="9"/>
    <w:unhideWhenUsed/>
    <w:rsid w:val="004C65BD"/>
    <w:pPr>
      <w:keepNext/>
      <w:keepLines/>
      <w:spacing w:after="0" w:before="200"/>
      <w:outlineLvl w:val="1"/>
    </w:pPr>
    <w:rPr>
      <w:rFonts w:cstheme="majorBidi" w:eastAsiaTheme="majorEastAsia"/>
      <w:b/>
      <w:bCs/>
      <w:szCs w:val="28"/>
    </w:rPr>
  </w:style>
  <w:style w:styleId="3" w:type="paragraph">
    <w:name w:val="heading 3"/>
    <w:basedOn w:val="a"/>
    <w:next w:val="a0"/>
    <w:uiPriority w:val="9"/>
    <w:unhideWhenUsed/>
    <w:qFormat/>
    <w:pPr>
      <w:keepNext/>
      <w:keepLines/>
      <w:spacing w:after="0" w:before="200"/>
      <w:outlineLvl w:val="2"/>
    </w:pPr>
    <w:rPr>
      <w:rFonts w:asciiTheme="majorHAnsi" w:cstheme="majorBidi" w:eastAsiaTheme="majorEastAsia" w:hAnsiTheme="majorHAnsi"/>
      <w:b/>
      <w:bCs/>
      <w:color w:themeColor="accent1" w:val="4F81BD"/>
    </w:rPr>
  </w:style>
  <w:style w:styleId="4" w:type="paragraph">
    <w:name w:val="heading 4"/>
    <w:basedOn w:val="a"/>
    <w:next w:val="a0"/>
    <w:uiPriority w:val="9"/>
    <w:unhideWhenUsed/>
    <w:qFormat/>
    <w:pPr>
      <w:keepNext/>
      <w:keepLines/>
      <w:spacing w:after="0" w:before="200"/>
      <w:outlineLvl w:val="3"/>
    </w:pPr>
    <w:rPr>
      <w:rFonts w:asciiTheme="majorHAnsi" w:cstheme="majorBidi" w:eastAsiaTheme="majorEastAsia" w:hAnsiTheme="majorHAnsi"/>
      <w:bCs/>
      <w:i/>
      <w:color w:themeColor="accent1" w:val="4F81BD"/>
    </w:rPr>
  </w:style>
  <w:style w:styleId="5" w:type="paragraph">
    <w:name w:val="heading 5"/>
    <w:basedOn w:val="a"/>
    <w:next w:val="a0"/>
    <w:uiPriority w:val="9"/>
    <w:unhideWhenUsed/>
    <w:qFormat/>
    <w:pPr>
      <w:keepNext/>
      <w:keepLines/>
      <w:spacing w:after="0" w:before="200"/>
      <w:outlineLvl w:val="4"/>
    </w:pPr>
    <w:rPr>
      <w:rFonts w:asciiTheme="majorHAnsi" w:cstheme="majorBidi" w:eastAsiaTheme="majorEastAsia" w:hAnsiTheme="majorHAnsi"/>
      <w:iCs/>
      <w:color w:themeColor="accent1" w:val="4F81BD"/>
    </w:rPr>
  </w:style>
  <w:style w:styleId="6" w:type="paragraph">
    <w:name w:val="heading 6"/>
    <w:basedOn w:val="a"/>
    <w:next w:val="a0"/>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styleId="7" w:type="paragraph">
    <w:name w:val="heading 7"/>
    <w:basedOn w:val="a"/>
    <w:next w:val="a0"/>
    <w:uiPriority w:val="9"/>
    <w:unhideWhenUsed/>
    <w:qFormat/>
    <w:pPr>
      <w:keepNext/>
      <w:keepLines/>
      <w:spacing w:after="0" w:before="200"/>
      <w:outlineLvl w:val="6"/>
    </w:pPr>
    <w:rPr>
      <w:rFonts w:asciiTheme="majorHAnsi" w:cstheme="majorBidi" w:eastAsiaTheme="majorEastAsia" w:hAnsiTheme="majorHAnsi"/>
      <w:color w:themeColor="accent1" w:val="4F81BD"/>
    </w:rPr>
  </w:style>
  <w:style w:styleId="8" w:type="paragraph">
    <w:name w:val="heading 8"/>
    <w:basedOn w:val="a"/>
    <w:next w:val="a0"/>
    <w:uiPriority w:val="9"/>
    <w:unhideWhenUsed/>
    <w:qFormat/>
    <w:pPr>
      <w:keepNext/>
      <w:keepLines/>
      <w:spacing w:after="0" w:before="200"/>
      <w:outlineLvl w:val="7"/>
    </w:pPr>
    <w:rPr>
      <w:rFonts w:asciiTheme="majorHAnsi" w:cstheme="majorBidi" w:eastAsiaTheme="majorEastAsia" w:hAnsiTheme="majorHAnsi"/>
      <w:color w:themeColor="accent1" w:val="4F81BD"/>
    </w:rPr>
  </w:style>
  <w:style w:styleId="9" w:type="paragraph">
    <w:name w:val="heading 9"/>
    <w:basedOn w:val="a"/>
    <w:next w:val="a0"/>
    <w:uiPriority w:val="9"/>
    <w:unhideWhenUsed/>
    <w:qFormat/>
    <w:pPr>
      <w:keepNext/>
      <w:keepLines/>
      <w:spacing w:after="0" w:before="200"/>
      <w:outlineLvl w:val="8"/>
    </w:pPr>
    <w:rPr>
      <w:rFonts w:asciiTheme="majorHAnsi" w:cstheme="majorBidi" w:eastAsiaTheme="majorEastAsia" w:hAnsiTheme="majorHAnsi"/>
      <w:color w:themeColor="accent1" w:val="4F81BD"/>
    </w:rPr>
  </w:style>
  <w:style w:default="1" w:styleId="a1" w:type="character">
    <w:name w:val="Default Paragraph Font"/>
    <w:uiPriority w:val="1"/>
    <w:unhideWhenUsed/>
  </w:style>
  <w:style w:default="1" w:styleId="a2" w:type="table">
    <w:name w:val="Normal Table"/>
    <w:uiPriority w:val="99"/>
    <w:semiHidden/>
    <w:unhideWhenUsed/>
    <w:tblPr>
      <w:tblInd w:type="dxa" w:w="0"/>
      <w:tblCellMar>
        <w:top w:type="dxa" w:w="0"/>
        <w:left w:type="dxa" w:w="108"/>
        <w:bottom w:type="dxa" w:w="0"/>
        <w:right w:type="dxa" w:w="108"/>
      </w:tblCellMar>
    </w:tblPr>
  </w:style>
  <w:style w:default="1" w:styleId="a3" w:type="numbering">
    <w:name w:val="No List"/>
    <w:uiPriority w:val="99"/>
    <w:semiHidden/>
    <w:unhideWhenUsed/>
  </w:style>
  <w:style w:styleId="a0" w:type="paragraph">
    <w:name w:val="Body Text"/>
    <w:basedOn w:val="a"/>
    <w:rsid w:val="004C65BD"/>
    <w:pPr>
      <w:spacing w:after="180" w:before="180"/>
      <w:ind w:firstLine="720"/>
    </w:pPr>
  </w:style>
  <w:style w:customStyle="1" w:styleId="FirstParagraph" w:type="paragraph">
    <w:name w:val="First Paragraph"/>
    <w:basedOn w:val="a0"/>
    <w:next w:val="a0"/>
    <w:rsid w:val="004C65BD"/>
  </w:style>
  <w:style w:customStyle="1" w:styleId="Compact" w:type="paragraph">
    <w:name w:val="Compact"/>
    <w:basedOn w:val="a0"/>
    <w:next w:val="a0"/>
    <w:rsid w:val="001A02C4"/>
    <w:pPr>
      <w:spacing w:after="36" w:before="36"/>
      <w:ind w:firstLine="0"/>
    </w:pPr>
    <w:rPr>
      <w:sz w:val="24"/>
    </w:rPr>
  </w:style>
  <w:style w:styleId="a4" w:type="paragraph">
    <w:name w:val="Title"/>
    <w:basedOn w:val="a"/>
    <w:next w:val="a0"/>
    <w:qFormat/>
    <w:rsid w:val="004C65BD"/>
    <w:pPr>
      <w:keepNext/>
      <w:keepLines/>
      <w:spacing w:after="240" w:before="480"/>
      <w:jc w:val="center"/>
    </w:pPr>
    <w:rPr>
      <w:rFonts w:cstheme="majorBidi" w:eastAsiaTheme="majorEastAsia"/>
      <w:b/>
      <w:bCs/>
      <w:sz w:val="36"/>
      <w:szCs w:val="36"/>
    </w:rPr>
  </w:style>
  <w:style w:styleId="a5" w:type="paragraph">
    <w:name w:val="Subtitle"/>
    <w:basedOn w:val="a4"/>
    <w:next w:val="a0"/>
    <w:qFormat/>
    <w:pPr>
      <w:spacing w:before="240"/>
    </w:pPr>
    <w:rPr>
      <w:sz w:val="30"/>
      <w:szCs w:val="30"/>
    </w:rPr>
  </w:style>
  <w:style w:customStyle="1" w:styleId="Author" w:type="paragraph">
    <w:name w:val="Author"/>
    <w:next w:val="a0"/>
    <w:rsid w:val="004C65BD"/>
    <w:pPr>
      <w:keepNext/>
      <w:keepLines/>
      <w:jc w:val="center"/>
    </w:pPr>
    <w:rPr>
      <w:rFonts w:ascii="Times New Roman" w:hAnsi="Times New Roman"/>
    </w:rPr>
  </w:style>
  <w:style w:styleId="a6" w:type="paragraph">
    <w:name w:val="Date"/>
    <w:next w:val="a0"/>
    <w:rsid w:val="004C65BD"/>
    <w:pPr>
      <w:keepNext/>
      <w:keepLines/>
      <w:jc w:val="center"/>
    </w:pPr>
    <w:rPr>
      <w:rFonts w:ascii="Times New Roman" w:hAnsi="Times New Roman"/>
    </w:rPr>
  </w:style>
  <w:style w:customStyle="1" w:styleId="Abstract" w:type="paragraph">
    <w:name w:val="Abstract"/>
    <w:basedOn w:val="a"/>
    <w:next w:val="a0"/>
    <w:rsid w:val="000F287E"/>
    <w:pPr>
      <w:keepNext/>
      <w:keepLines/>
      <w:spacing w:after="300" w:before="300"/>
    </w:pPr>
    <w:rPr>
      <w:sz w:val="24"/>
      <w:szCs w:val="20"/>
    </w:rPr>
  </w:style>
  <w:style w:styleId="a7" w:type="paragraph">
    <w:name w:val="Bibliography"/>
    <w:basedOn w:val="a"/>
    <w:qFormat/>
  </w:style>
  <w:style w:styleId="a8" w:type="paragraph">
    <w:name w:val="Block Text"/>
    <w:basedOn w:val="a0"/>
    <w:next w:val="a0"/>
    <w:uiPriority w:val="9"/>
    <w:unhideWhenUsed/>
    <w:qFormat/>
    <w:rsid w:val="0074725E"/>
    <w:pPr>
      <w:spacing w:after="100" w:before="100"/>
      <w:ind w:firstLine="0" w:left="480" w:right="480"/>
    </w:pPr>
    <w:rPr>
      <w:sz w:val="24"/>
    </w:rPr>
  </w:style>
  <w:style w:styleId="a9" w:type="paragraph">
    <w:name w:val="footnote text"/>
    <w:basedOn w:val="a"/>
    <w:uiPriority w:val="9"/>
    <w:unhideWhenUsed/>
    <w:rsid w:val="006D00F2"/>
    <w:rPr>
      <w:sz w:val="24"/>
    </w:r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a"/>
    <w:next w:val="Definition"/>
    <w:rsid w:val="004C65BD"/>
    <w:pPr>
      <w:keepNext/>
      <w:keepLines/>
      <w:spacing w:after="0"/>
    </w:pPr>
    <w:rPr>
      <w:b/>
    </w:rPr>
  </w:style>
  <w:style w:customStyle="1" w:styleId="Definition" w:type="paragraph">
    <w:name w:val="Definition"/>
    <w:basedOn w:val="a"/>
  </w:style>
  <w:style w:styleId="aa" w:type="paragraph">
    <w:name w:val="caption"/>
    <w:basedOn w:val="a"/>
    <w:link w:val="ab"/>
    <w:pPr>
      <w:spacing w:after="120"/>
    </w:pPr>
    <w:rPr>
      <w:i/>
    </w:rPr>
  </w:style>
  <w:style w:customStyle="1" w:styleId="TableCaption" w:type="paragraph">
    <w:name w:val="Table Caption"/>
    <w:basedOn w:val="aa"/>
    <w:rsid w:val="006D00F2"/>
    <w:pPr>
      <w:keepNext/>
    </w:pPr>
    <w:rPr>
      <w:sz w:val="24"/>
    </w:rPr>
  </w:style>
  <w:style w:customStyle="1" w:styleId="ImageCaption" w:type="paragraph">
    <w:name w:val="Image Caption"/>
    <w:basedOn w:val="aa"/>
    <w:rsid w:val="006D00F2"/>
    <w:rPr>
      <w:sz w:val="24"/>
    </w:rPr>
  </w:style>
  <w:style w:customStyle="1" w:styleId="Figure" w:type="paragraph">
    <w:name w:val="Figure"/>
    <w:basedOn w:val="a"/>
  </w:style>
  <w:style w:customStyle="1" w:styleId="CaptionedFigure" w:type="paragraph">
    <w:name w:val="Captioned Figure"/>
    <w:basedOn w:val="Figure"/>
    <w:pPr>
      <w:keepNext/>
    </w:pPr>
  </w:style>
  <w:style w:customStyle="1" w:styleId="ab" w:type="character">
    <w:name w:val="Название объекта Знак"/>
    <w:basedOn w:val="a1"/>
    <w:link w:val="aa"/>
  </w:style>
  <w:style w:customStyle="1" w:styleId="VerbatimChar" w:type="character">
    <w:name w:val="Verbatim Char"/>
    <w:basedOn w:val="ab"/>
    <w:rPr>
      <w:rFonts w:ascii="Consolas" w:hAnsi="Consolas"/>
      <w:sz w:val="22"/>
    </w:rPr>
  </w:style>
  <w:style w:customStyle="1" w:styleId="SectionNumber" w:type="character">
    <w:name w:val="Section Number"/>
    <w:basedOn w:val="ab"/>
  </w:style>
  <w:style w:styleId="ac" w:type="character">
    <w:name w:val="footnote reference"/>
    <w:basedOn w:val="ab"/>
    <w:rPr>
      <w:vertAlign w:val="superscript"/>
    </w:rPr>
  </w:style>
  <w:style w:styleId="ad" w:type="character">
    <w:name w:val="Hyperlink"/>
    <w:basedOn w:val="ab"/>
    <w:rPr>
      <w:color w:themeColor="accent1" w:val="4F81BD"/>
    </w:rPr>
  </w:style>
  <w:style w:styleId="ae" w:type="paragraph">
    <w:name w:val="TOC Heading"/>
    <w:basedOn w:val="1"/>
    <w:next w:val="a0"/>
    <w:uiPriority w:val="39"/>
    <w:unhideWhenUsed/>
    <w:qFormat/>
    <w:pPr>
      <w:spacing w:before="240" w:line="259" w:lineRule="auto"/>
      <w:outlineLvl w:val="9"/>
    </w:pPr>
    <w:rPr>
      <w:rFonts w:asciiTheme="majorHAnsi"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3" Target="media/rId33.png" /><Relationship Type="http://schemas.openxmlformats.org/officeDocument/2006/relationships/image" Id="rId26" Target="media/rId26.png" /><Relationship Type="http://schemas.openxmlformats.org/officeDocument/2006/relationships/hyperlink" Id="rId46" Target="http://onlinelibrary.wiley.com/doi/10.1002/sam.11271/full" TargetMode="External" /><Relationship Type="http://schemas.openxmlformats.org/officeDocument/2006/relationships/hyperlink" Id="rId39" Target="https://doi.org/10.1111/gean.12290" TargetMode="External" /><Relationship Type="http://schemas.openxmlformats.org/officeDocument/2006/relationships/hyperlink" Id="rId36" Target="https://quarto.org/docs/output-formats/ms-word-templates.html" TargetMode="External" /><Relationship Type="http://schemas.openxmlformats.org/officeDocument/2006/relationships/hyperlink" Id="rId37" Target="https://quarto.org/docs/prerelease/1.3/multi-format.html" TargetMode="External" /></Relationships>
</file>

<file path=word/_rels/footnotes.xml.rels><?xml version="1.0" encoding="UTF-8"?><Relationships xmlns="http://schemas.openxmlformats.org/package/2006/relationships"><Relationship Type="http://schemas.openxmlformats.org/officeDocument/2006/relationships/hyperlink" Id="rId46" Target="http://onlinelibrary.wiley.com/doi/10.1002/sam.11271/full" TargetMode="External" /><Relationship Type="http://schemas.openxmlformats.org/officeDocument/2006/relationships/hyperlink" Id="rId39" Target="https://doi.org/10.1111/gean.12290" TargetMode="External" /><Relationship Type="http://schemas.openxmlformats.org/officeDocument/2006/relationships/hyperlink" Id="rId36" Target="https://quarto.org/docs/output-formats/ms-word-templates.html" TargetMode="External" /><Relationship Type="http://schemas.openxmlformats.org/officeDocument/2006/relationships/hyperlink" Id="rId37" Target="https://quarto.org/docs/prerelease/1.3/multi-format.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66</Words>
  <Characters>377</Characters>
  <Application>Microsoft Office Word</Application>
  <DocSecurity>0</DocSecurity>
  <Lines>3</Lines>
  <Paragraphs>1</Paragraphs>
  <ScaleCrop>false</ScaleCrop>
  <HeadingPairs>
    <vt:vector size="2" baseType="variant">
      <vt:variant>
        <vt:lpstr>Название</vt:lpstr>
      </vt:variant>
      <vt:variant>
        <vt:i4>1</vt:i4>
      </vt:variant>
    </vt:vector>
  </HeadingPairs>
  <TitlesOfParts>
    <vt:vector size="1" baseType="lpstr">
      <vt:lpstr>Title</vt:lpstr>
    </vt:vector>
  </TitlesOfParts>
  <Company/>
  <LinksUpToDate>false</LinksUpToDate>
  <CharactersWithSpaces>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Статистические данные за период с 2010 по 2020 год</dc:title>
  <dc:creator>Автор Фамилия</dc:creator>
  <dc:language>ru</dc:language>
  <cp:keywords/>
  <dcterms:created xsi:type="dcterms:W3CDTF">2023-02-28T02:36:21Z</dcterms:created>
  <dcterms:modified xsi:type="dcterms:W3CDTF">2023-02-28T02:36:21Z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Мини-исследование по основным характеристикам объекта.</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ibliography">
    <vt:lpwstr>references.bib</vt:lpwstr>
  </property>
  <property fmtid="{D5CDD505-2E9C-101B-9397-08002B2CF9AE}" pid="7" name="by-affiliation">
    <vt:lpwstr/>
  </property>
  <property fmtid="{D5CDD505-2E9C-101B-9397-08002B2CF9AE}" pid="8" name="by-author">
    <vt:lpwstr/>
  </property>
  <property fmtid="{D5CDD505-2E9C-101B-9397-08002B2CF9AE}" pid="9" name="categories">
    <vt:lpwstr/>
  </property>
  <property fmtid="{D5CDD505-2E9C-101B-9397-08002B2CF9AE}" pid="10" name="csl">
    <vt:lpwstr>gost-r-7-0-5-2008-numeric.csl</vt:lpwstr>
  </property>
  <property fmtid="{D5CDD505-2E9C-101B-9397-08002B2CF9AE}" pid="11" name="date">
    <vt:lpwstr>04.03.2023</vt:lpwstr>
  </property>
  <property fmtid="{D5CDD505-2E9C-101B-9397-08002B2CF9AE}" pid="12" name="header-includes">
    <vt:lpwstr/>
  </property>
  <property fmtid="{D5CDD505-2E9C-101B-9397-08002B2CF9AE}" pid="13" name="image">
    <vt:lpwstr>image.jpg</vt:lpwstr>
  </property>
  <property fmtid="{D5CDD505-2E9C-101B-9397-08002B2CF9AE}" pid="14" name="include-after">
    <vt:lpwstr/>
  </property>
  <property fmtid="{D5CDD505-2E9C-101B-9397-08002B2CF9AE}" pid="15" name="include-before">
    <vt:lpwstr/>
  </property>
  <property fmtid="{D5CDD505-2E9C-101B-9397-08002B2CF9AE}" pid="16" name="labels">
    <vt:lpwstr/>
  </property>
  <property fmtid="{D5CDD505-2E9C-101B-9397-08002B2CF9AE}" pid="17" name="title-block-banner">
    <vt:lpwstr>True</vt:lpwstr>
  </property>
  <property fmtid="{D5CDD505-2E9C-101B-9397-08002B2CF9AE}" pid="18" name="toc-title">
    <vt:lpwstr>Содержание</vt:lpwstr>
  </property>
</Properties>
</file>